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43" w:rsidRPr="004A4189" w:rsidRDefault="007E0D43" w:rsidP="007E0D43">
      <w:pPr>
        <w:jc w:val="right"/>
        <w:rPr>
          <w:rFonts w:asciiTheme="minorHAnsi" w:hAnsiTheme="minorHAnsi" w:cstheme="minorHAnsi"/>
          <w:b/>
          <w:bCs/>
          <w:szCs w:val="22"/>
        </w:rPr>
      </w:pPr>
      <w:bookmarkStart w:id="0" w:name="_GoBack"/>
      <w:bookmarkEnd w:id="0"/>
      <w:r w:rsidRPr="004A4189">
        <w:rPr>
          <w:rFonts w:asciiTheme="minorHAnsi" w:hAnsiTheme="minorHAnsi" w:cstheme="minorHAnsi"/>
          <w:b/>
          <w:bCs/>
          <w:szCs w:val="22"/>
        </w:rPr>
        <w:t>Załącznik do PFU</w:t>
      </w:r>
    </w:p>
    <w:p w:rsidR="007E0D43" w:rsidRDefault="007E0D43" w:rsidP="007E0D43">
      <w:pPr>
        <w:rPr>
          <w:rFonts w:asciiTheme="minorHAnsi" w:hAnsiTheme="minorHAnsi" w:cstheme="minorHAnsi"/>
          <w:b/>
          <w:bCs/>
          <w:szCs w:val="22"/>
        </w:rPr>
      </w:pPr>
    </w:p>
    <w:p w:rsidR="007E0D43" w:rsidRPr="007E0D43" w:rsidRDefault="007E0D43" w:rsidP="007E0D43">
      <w:pPr>
        <w:jc w:val="center"/>
        <w:rPr>
          <w:rFonts w:asciiTheme="minorHAnsi" w:hAnsiTheme="minorHAnsi" w:cstheme="minorHAnsi"/>
          <w:b/>
          <w:bCs/>
          <w:szCs w:val="22"/>
        </w:rPr>
      </w:pPr>
      <w:r w:rsidRPr="007E0D43">
        <w:rPr>
          <w:rFonts w:asciiTheme="minorHAnsi" w:hAnsiTheme="minorHAnsi" w:cstheme="minorHAnsi"/>
          <w:b/>
          <w:bCs/>
          <w:szCs w:val="22"/>
        </w:rPr>
        <w:t>Uzupełnienie zakresu w stosunku do Programu Funkcjonalno–Użytkowego (PFU)</w:t>
      </w:r>
    </w:p>
    <w:p w:rsidR="007E0D43" w:rsidRDefault="007E0D43" w:rsidP="007E0D43">
      <w:pPr>
        <w:jc w:val="both"/>
        <w:rPr>
          <w:rFonts w:asciiTheme="minorHAnsi" w:hAnsiTheme="minorHAnsi" w:cstheme="minorHAnsi"/>
          <w:szCs w:val="22"/>
        </w:rPr>
      </w:pPr>
    </w:p>
    <w:p w:rsidR="00392D7D" w:rsidRDefault="007E0D43" w:rsidP="00392D7D">
      <w:pPr>
        <w:jc w:val="both"/>
        <w:rPr>
          <w:rFonts w:asciiTheme="minorHAnsi" w:hAnsiTheme="minorHAnsi" w:cstheme="minorHAnsi"/>
          <w:b/>
          <w:bCs/>
          <w:szCs w:val="22"/>
        </w:rPr>
      </w:pPr>
      <w:r w:rsidRPr="007E0D43">
        <w:rPr>
          <w:rFonts w:asciiTheme="minorHAnsi" w:hAnsiTheme="minorHAnsi" w:cstheme="minorHAnsi"/>
          <w:szCs w:val="22"/>
        </w:rPr>
        <w:t>W Programie Funkcjonalno–Użytkowym (PFU) opra</w:t>
      </w:r>
      <w:r>
        <w:rPr>
          <w:rFonts w:asciiTheme="minorHAnsi" w:hAnsiTheme="minorHAnsi" w:cstheme="minorHAnsi"/>
          <w:szCs w:val="22"/>
        </w:rPr>
        <w:t xml:space="preserve">cowanym na potrzeby niniejszego </w:t>
      </w:r>
      <w:r w:rsidRPr="007E0D43">
        <w:rPr>
          <w:rFonts w:asciiTheme="minorHAnsi" w:hAnsiTheme="minorHAnsi" w:cstheme="minorHAnsi"/>
          <w:szCs w:val="22"/>
        </w:rPr>
        <w:t xml:space="preserve">zamówienia </w:t>
      </w:r>
      <w:r w:rsidRPr="007E0D43">
        <w:rPr>
          <w:rFonts w:asciiTheme="minorHAnsi" w:hAnsiTheme="minorHAnsi" w:cstheme="minorHAnsi"/>
          <w:b/>
          <w:bCs/>
          <w:szCs w:val="22"/>
        </w:rPr>
        <w:t>nie ujęto zastosowania urządzeń do</w:t>
      </w:r>
      <w:r w:rsidR="00826FE7">
        <w:rPr>
          <w:rFonts w:asciiTheme="minorHAnsi" w:hAnsiTheme="minorHAnsi" w:cstheme="minorHAnsi"/>
          <w:b/>
          <w:bCs/>
          <w:szCs w:val="22"/>
        </w:rPr>
        <w:t xml:space="preserve"> dezynfekcji wody w technologii</w:t>
      </w:r>
      <w:r w:rsidR="00392D7D">
        <w:rPr>
          <w:rFonts w:asciiTheme="minorHAnsi" w:hAnsiTheme="minorHAnsi" w:cstheme="minorHAnsi"/>
          <w:b/>
          <w:bCs/>
          <w:szCs w:val="22"/>
        </w:rPr>
        <w:t xml:space="preserve"> promieniowania UV.</w:t>
      </w:r>
    </w:p>
    <w:p w:rsidR="007E0D43" w:rsidRDefault="007E0D43" w:rsidP="00392D7D">
      <w:pPr>
        <w:jc w:val="both"/>
        <w:rPr>
          <w:rFonts w:asciiTheme="minorHAnsi" w:hAnsiTheme="minorHAnsi" w:cstheme="minorHAnsi"/>
          <w:szCs w:val="22"/>
        </w:rPr>
      </w:pPr>
    </w:p>
    <w:p w:rsidR="007E0D43" w:rsidRPr="007E0D43" w:rsidRDefault="007E0D43" w:rsidP="00826FE7">
      <w:pPr>
        <w:jc w:val="both"/>
        <w:rPr>
          <w:rFonts w:asciiTheme="minorHAnsi" w:hAnsiTheme="minorHAnsi" w:cstheme="minorHAnsi"/>
          <w:szCs w:val="22"/>
        </w:rPr>
      </w:pPr>
      <w:r w:rsidRPr="007E0D43">
        <w:rPr>
          <w:rFonts w:asciiTheme="minorHAnsi" w:hAnsiTheme="minorHAnsi" w:cstheme="minorHAnsi"/>
          <w:szCs w:val="22"/>
        </w:rPr>
        <w:t xml:space="preserve">Zamawiający, mając na względzie </w:t>
      </w:r>
      <w:r w:rsidRPr="007E0D43">
        <w:rPr>
          <w:rFonts w:asciiTheme="minorHAnsi" w:hAnsiTheme="minorHAnsi" w:cstheme="minorHAnsi"/>
          <w:b/>
          <w:bCs/>
          <w:szCs w:val="22"/>
        </w:rPr>
        <w:t>bezpieczeństwo sanitarne oraz ciągłość dostaw wody przeznaczonej do spożycia przez ludzi</w:t>
      </w:r>
      <w:r w:rsidRPr="007E0D43">
        <w:rPr>
          <w:rFonts w:asciiTheme="minorHAnsi" w:hAnsiTheme="minorHAnsi" w:cstheme="minorHAnsi"/>
          <w:szCs w:val="22"/>
        </w:rPr>
        <w:t xml:space="preserve">, uznał, że </w:t>
      </w:r>
      <w:r w:rsidRPr="007E0D43">
        <w:rPr>
          <w:rFonts w:asciiTheme="minorHAnsi" w:hAnsiTheme="minorHAnsi" w:cstheme="minorHAnsi"/>
          <w:b/>
          <w:bCs/>
          <w:szCs w:val="22"/>
        </w:rPr>
        <w:t>montaż lamp UV stanowi element niezbędny dla prawidłowego i bezpiecznego funkcjonowania stacji uzdatniania wody</w:t>
      </w:r>
      <w:r w:rsidRPr="007E0D43">
        <w:rPr>
          <w:rFonts w:asciiTheme="minorHAnsi" w:hAnsiTheme="minorHAnsi" w:cstheme="minorHAnsi"/>
          <w:szCs w:val="22"/>
        </w:rPr>
        <w:t>.</w:t>
      </w:r>
    </w:p>
    <w:p w:rsidR="007E0D43" w:rsidRPr="007E0D43" w:rsidRDefault="007E0D43" w:rsidP="007E0D43">
      <w:pPr>
        <w:jc w:val="both"/>
        <w:rPr>
          <w:rFonts w:asciiTheme="minorHAnsi" w:hAnsiTheme="minorHAnsi" w:cstheme="minorHAnsi"/>
          <w:szCs w:val="22"/>
        </w:rPr>
      </w:pPr>
      <w:r w:rsidRPr="007E0D43">
        <w:rPr>
          <w:rFonts w:asciiTheme="minorHAnsi" w:hAnsiTheme="minorHAnsi" w:cstheme="minorHAnsi"/>
          <w:szCs w:val="22"/>
        </w:rPr>
        <w:t>W związku z powyższym:</w:t>
      </w:r>
    </w:p>
    <w:p w:rsidR="007E0D43" w:rsidRPr="007E0D43" w:rsidRDefault="007E0D43" w:rsidP="007E0D43">
      <w:pPr>
        <w:numPr>
          <w:ilvl w:val="0"/>
          <w:numId w:val="1"/>
        </w:numPr>
        <w:jc w:val="both"/>
        <w:rPr>
          <w:rFonts w:asciiTheme="minorHAnsi" w:eastAsia="Times New Roman" w:hAnsiTheme="minorHAnsi" w:cstheme="minorHAnsi"/>
          <w:szCs w:val="22"/>
        </w:rPr>
      </w:pPr>
      <w:r w:rsidRPr="007E0D43">
        <w:rPr>
          <w:rFonts w:asciiTheme="minorHAnsi" w:eastAsia="Times New Roman" w:hAnsiTheme="minorHAnsi" w:cstheme="minorHAnsi"/>
          <w:szCs w:val="22"/>
        </w:rPr>
        <w:t xml:space="preserve">planuje się </w:t>
      </w:r>
      <w:r w:rsidRPr="007E0D43">
        <w:rPr>
          <w:rFonts w:asciiTheme="minorHAnsi" w:eastAsia="Times New Roman" w:hAnsiTheme="minorHAnsi" w:cstheme="minorHAnsi"/>
          <w:b/>
          <w:bCs/>
          <w:szCs w:val="22"/>
        </w:rPr>
        <w:t>montaż systemu dezynfekcji UV</w:t>
      </w:r>
      <w:r w:rsidRPr="007E0D43">
        <w:rPr>
          <w:rFonts w:asciiTheme="minorHAnsi" w:eastAsia="Times New Roman" w:hAnsiTheme="minorHAnsi" w:cstheme="minorHAnsi"/>
          <w:szCs w:val="22"/>
        </w:rPr>
        <w:t xml:space="preserve"> w istniejącym układzie technologicznym stacji </w:t>
      </w:r>
      <w:r w:rsidRPr="007E0D43">
        <w:rPr>
          <w:rFonts w:asciiTheme="minorHAnsi" w:eastAsia="Times New Roman" w:hAnsiTheme="minorHAnsi" w:cstheme="minorHAnsi"/>
          <w:b/>
          <w:bCs/>
          <w:szCs w:val="22"/>
        </w:rPr>
        <w:t>jeszcze przed rozpoczęciem kompleksowej modernizacji</w:t>
      </w:r>
      <w:r w:rsidRPr="007E0D43">
        <w:rPr>
          <w:rFonts w:asciiTheme="minorHAnsi" w:eastAsia="Times New Roman" w:hAnsiTheme="minorHAnsi" w:cstheme="minorHAnsi"/>
          <w:szCs w:val="22"/>
        </w:rPr>
        <w:t>,</w:t>
      </w:r>
    </w:p>
    <w:p w:rsidR="007E0D43" w:rsidRPr="007E0D43" w:rsidRDefault="007E0D43" w:rsidP="007E0D43">
      <w:pPr>
        <w:numPr>
          <w:ilvl w:val="0"/>
          <w:numId w:val="1"/>
        </w:numPr>
        <w:jc w:val="both"/>
        <w:rPr>
          <w:rFonts w:asciiTheme="minorHAnsi" w:eastAsia="Times New Roman" w:hAnsiTheme="minorHAnsi" w:cstheme="minorHAnsi"/>
          <w:szCs w:val="22"/>
        </w:rPr>
      </w:pPr>
      <w:r w:rsidRPr="007E0D43">
        <w:rPr>
          <w:rFonts w:asciiTheme="minorHAnsi" w:eastAsia="Times New Roman" w:hAnsiTheme="minorHAnsi" w:cstheme="minorHAnsi"/>
          <w:b/>
          <w:bCs/>
          <w:szCs w:val="22"/>
        </w:rPr>
        <w:t>urządzenia te staną się częścią wyposażenia stacji uzdatniania wody</w:t>
      </w:r>
      <w:r w:rsidRPr="007E0D43">
        <w:rPr>
          <w:rFonts w:asciiTheme="minorHAnsi" w:eastAsia="Times New Roman" w:hAnsiTheme="minorHAnsi" w:cstheme="minorHAnsi"/>
          <w:szCs w:val="22"/>
        </w:rPr>
        <w:t xml:space="preserve"> i będą wykorzystane w docelowym, zmodernizowanym układzie technologicznym,</w:t>
      </w:r>
    </w:p>
    <w:p w:rsidR="007E0D43" w:rsidRPr="007E0D43" w:rsidRDefault="007E0D43" w:rsidP="007E0D43">
      <w:pPr>
        <w:numPr>
          <w:ilvl w:val="0"/>
          <w:numId w:val="1"/>
        </w:numPr>
        <w:jc w:val="both"/>
        <w:rPr>
          <w:rFonts w:asciiTheme="minorHAnsi" w:eastAsia="Times New Roman" w:hAnsiTheme="minorHAnsi" w:cstheme="minorHAnsi"/>
          <w:szCs w:val="22"/>
        </w:rPr>
      </w:pPr>
      <w:r w:rsidRPr="007E0D43">
        <w:rPr>
          <w:rFonts w:asciiTheme="minorHAnsi" w:eastAsia="Times New Roman" w:hAnsiTheme="minorHAnsi" w:cstheme="minorHAnsi"/>
          <w:szCs w:val="22"/>
        </w:rPr>
        <w:t>w ramach niniejszego zamówienia Wykonawca będzie zobowiązany do:</w:t>
      </w:r>
    </w:p>
    <w:p w:rsidR="007E0D43" w:rsidRPr="007E0D43" w:rsidRDefault="007E0D43" w:rsidP="007E0D43">
      <w:pPr>
        <w:numPr>
          <w:ilvl w:val="1"/>
          <w:numId w:val="1"/>
        </w:numPr>
        <w:jc w:val="both"/>
        <w:rPr>
          <w:rFonts w:asciiTheme="minorHAnsi" w:eastAsia="Times New Roman" w:hAnsiTheme="minorHAnsi" w:cstheme="minorHAnsi"/>
          <w:szCs w:val="22"/>
        </w:rPr>
      </w:pPr>
      <w:r w:rsidRPr="007E0D43">
        <w:rPr>
          <w:rFonts w:asciiTheme="minorHAnsi" w:eastAsia="Times New Roman" w:hAnsiTheme="minorHAnsi" w:cstheme="minorHAnsi"/>
          <w:b/>
          <w:bCs/>
          <w:szCs w:val="22"/>
        </w:rPr>
        <w:t>demontażu i przeniesienia istniejących lamp UV</w:t>
      </w:r>
      <w:r w:rsidRPr="007E0D43">
        <w:rPr>
          <w:rFonts w:asciiTheme="minorHAnsi" w:eastAsia="Times New Roman" w:hAnsiTheme="minorHAnsi" w:cstheme="minorHAnsi"/>
          <w:szCs w:val="22"/>
        </w:rPr>
        <w:t xml:space="preserve"> do nowego układu technologicznego,</w:t>
      </w:r>
    </w:p>
    <w:p w:rsidR="007E0D43" w:rsidRPr="007E0D43" w:rsidRDefault="007E0D43" w:rsidP="007E0D43">
      <w:pPr>
        <w:numPr>
          <w:ilvl w:val="1"/>
          <w:numId w:val="1"/>
        </w:numPr>
        <w:jc w:val="both"/>
        <w:rPr>
          <w:rFonts w:asciiTheme="minorHAnsi" w:eastAsia="Times New Roman" w:hAnsiTheme="minorHAnsi" w:cstheme="minorHAnsi"/>
          <w:szCs w:val="22"/>
        </w:rPr>
      </w:pPr>
      <w:r w:rsidRPr="007E0D43">
        <w:rPr>
          <w:rFonts w:asciiTheme="minorHAnsi" w:eastAsia="Times New Roman" w:hAnsiTheme="minorHAnsi" w:cstheme="minorHAnsi"/>
          <w:b/>
          <w:bCs/>
          <w:szCs w:val="22"/>
        </w:rPr>
        <w:t xml:space="preserve">ponownego montażu, uruchomienia i integracji z systemem automatyki, </w:t>
      </w:r>
    </w:p>
    <w:p w:rsidR="007E0D43" w:rsidRDefault="007E0D43" w:rsidP="007E0D43">
      <w:pPr>
        <w:numPr>
          <w:ilvl w:val="1"/>
          <w:numId w:val="1"/>
        </w:numPr>
        <w:jc w:val="both"/>
        <w:rPr>
          <w:rFonts w:asciiTheme="minorHAnsi" w:eastAsia="Times New Roman" w:hAnsiTheme="minorHAnsi" w:cstheme="minorHAnsi"/>
          <w:szCs w:val="22"/>
        </w:rPr>
      </w:pPr>
      <w:r w:rsidRPr="007E0D43">
        <w:rPr>
          <w:rFonts w:asciiTheme="minorHAnsi" w:eastAsia="Times New Roman" w:hAnsiTheme="minorHAnsi" w:cstheme="minorHAnsi"/>
          <w:szCs w:val="22"/>
        </w:rPr>
        <w:t>zapewnienia kompatybilności zastosowanych rozwiązań technologicznych</w:t>
      </w:r>
      <w:r>
        <w:rPr>
          <w:rFonts w:asciiTheme="minorHAnsi" w:eastAsia="Times New Roman" w:hAnsiTheme="minorHAnsi" w:cstheme="minorHAnsi"/>
          <w:szCs w:val="22"/>
        </w:rPr>
        <w:t xml:space="preserve">                     </w:t>
      </w:r>
      <w:r w:rsidRPr="007E0D43">
        <w:rPr>
          <w:rFonts w:asciiTheme="minorHAnsi" w:eastAsia="Times New Roman" w:hAnsiTheme="minorHAnsi" w:cstheme="minorHAnsi"/>
          <w:szCs w:val="22"/>
        </w:rPr>
        <w:t xml:space="preserve"> i elektrycznych z pozostałą częścią systemu uzdatniania wody.</w:t>
      </w:r>
    </w:p>
    <w:p w:rsidR="007E0D43" w:rsidRPr="007E0D43" w:rsidRDefault="007E0D43" w:rsidP="007E0D43">
      <w:pPr>
        <w:jc w:val="both"/>
        <w:rPr>
          <w:rFonts w:asciiTheme="minorHAnsi" w:eastAsia="Times New Roman" w:hAnsiTheme="minorHAnsi" w:cstheme="minorHAnsi"/>
          <w:szCs w:val="22"/>
        </w:rPr>
      </w:pPr>
    </w:p>
    <w:p w:rsidR="007E0D43" w:rsidRPr="007E0D43" w:rsidRDefault="007E0D43" w:rsidP="00826FE7">
      <w:pPr>
        <w:jc w:val="both"/>
        <w:rPr>
          <w:rFonts w:asciiTheme="minorHAnsi" w:hAnsiTheme="minorHAnsi" w:cstheme="minorHAnsi"/>
          <w:szCs w:val="22"/>
        </w:rPr>
      </w:pPr>
      <w:r w:rsidRPr="007E0D43">
        <w:rPr>
          <w:rFonts w:asciiTheme="minorHAnsi" w:hAnsiTheme="minorHAnsi" w:cstheme="minorHAnsi"/>
          <w:szCs w:val="22"/>
        </w:rPr>
        <w:t xml:space="preserve">Wykonawca zobowiązany jest do uwzględnienia powyższego zakresu </w:t>
      </w:r>
      <w:r>
        <w:rPr>
          <w:rFonts w:asciiTheme="minorHAnsi" w:hAnsiTheme="minorHAnsi" w:cstheme="minorHAnsi"/>
          <w:szCs w:val="22"/>
        </w:rPr>
        <w:t xml:space="preserve">                                        </w:t>
      </w:r>
      <w:r w:rsidRPr="007E0D43">
        <w:rPr>
          <w:rFonts w:asciiTheme="minorHAnsi" w:hAnsiTheme="minorHAnsi" w:cstheme="minorHAnsi"/>
          <w:szCs w:val="22"/>
        </w:rPr>
        <w:t xml:space="preserve">w opracowywanej </w:t>
      </w:r>
      <w:r w:rsidRPr="007E0D43">
        <w:rPr>
          <w:rFonts w:asciiTheme="minorHAnsi" w:hAnsiTheme="minorHAnsi" w:cstheme="minorHAnsi"/>
          <w:b/>
          <w:bCs/>
          <w:szCs w:val="22"/>
        </w:rPr>
        <w:t>dokumentacji projektowej oraz kosztorysie</w:t>
      </w:r>
      <w:r w:rsidRPr="007E0D43">
        <w:rPr>
          <w:rFonts w:asciiTheme="minorHAnsi" w:hAnsiTheme="minorHAnsi" w:cstheme="minorHAnsi"/>
          <w:szCs w:val="22"/>
        </w:rPr>
        <w:t>, z zachowaniem pełnej funkcjonalności</w:t>
      </w:r>
      <w:r>
        <w:rPr>
          <w:rFonts w:asciiTheme="minorHAnsi" w:hAnsiTheme="minorHAnsi" w:cstheme="minorHAnsi"/>
          <w:szCs w:val="22"/>
        </w:rPr>
        <w:t xml:space="preserve"> </w:t>
      </w:r>
      <w:r w:rsidRPr="007E0D43">
        <w:rPr>
          <w:rFonts w:asciiTheme="minorHAnsi" w:hAnsiTheme="minorHAnsi" w:cstheme="minorHAnsi"/>
          <w:szCs w:val="22"/>
        </w:rPr>
        <w:t>i zgodności z obowiązującymi normami i przepisami sanitarnymi.</w:t>
      </w:r>
    </w:p>
    <w:p w:rsidR="007E0D43" w:rsidRPr="007E0D43" w:rsidRDefault="007E0D43" w:rsidP="007E0D43">
      <w:pPr>
        <w:jc w:val="both"/>
        <w:rPr>
          <w:rFonts w:asciiTheme="minorHAnsi" w:hAnsiTheme="minorHAnsi" w:cstheme="minorHAnsi"/>
          <w:szCs w:val="22"/>
        </w:rPr>
      </w:pPr>
    </w:p>
    <w:p w:rsidR="00095690" w:rsidRPr="007E0D43" w:rsidRDefault="00095690" w:rsidP="007E0D43">
      <w:pPr>
        <w:jc w:val="both"/>
        <w:rPr>
          <w:rFonts w:asciiTheme="minorHAnsi" w:hAnsiTheme="minorHAnsi" w:cstheme="minorHAnsi"/>
          <w:sz w:val="28"/>
        </w:rPr>
      </w:pPr>
    </w:p>
    <w:sectPr w:rsidR="00095690" w:rsidRPr="007E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F0D" w:rsidRDefault="00DC1F0D" w:rsidP="007E0D43">
      <w:r>
        <w:separator/>
      </w:r>
    </w:p>
  </w:endnote>
  <w:endnote w:type="continuationSeparator" w:id="0">
    <w:p w:rsidR="00DC1F0D" w:rsidRDefault="00DC1F0D" w:rsidP="007E0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F0D" w:rsidRDefault="00DC1F0D" w:rsidP="007E0D43">
      <w:r>
        <w:separator/>
      </w:r>
    </w:p>
  </w:footnote>
  <w:footnote w:type="continuationSeparator" w:id="0">
    <w:p w:rsidR="00DC1F0D" w:rsidRDefault="00DC1F0D" w:rsidP="007E0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F456B"/>
    <w:multiLevelType w:val="multilevel"/>
    <w:tmpl w:val="BE84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D43"/>
    <w:rsid w:val="00095690"/>
    <w:rsid w:val="00392D7D"/>
    <w:rsid w:val="004A4189"/>
    <w:rsid w:val="007E0D43"/>
    <w:rsid w:val="00826FE7"/>
    <w:rsid w:val="00DC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D43"/>
    <w:pPr>
      <w:spacing w:after="0" w:line="240" w:lineRule="auto"/>
    </w:pPr>
    <w:rPr>
      <w:rFonts w:ascii="Aptos" w:eastAsia="Calibri" w:hAnsi="Aptos" w:cs="Times New Roman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0D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0D43"/>
    <w:rPr>
      <w:rFonts w:ascii="Aptos" w:eastAsia="Calibri" w:hAnsi="Aptos" w:cs="Times New Roman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7E0D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0D43"/>
    <w:rPr>
      <w:rFonts w:ascii="Aptos" w:eastAsia="Calibri" w:hAnsi="Aptos" w:cs="Times New Roman"/>
      <w:sz w:val="24"/>
      <w:szCs w:val="24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D43"/>
    <w:pPr>
      <w:spacing w:after="0" w:line="240" w:lineRule="auto"/>
    </w:pPr>
    <w:rPr>
      <w:rFonts w:ascii="Aptos" w:eastAsia="Calibri" w:hAnsi="Aptos" w:cs="Times New Roman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0D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0D43"/>
    <w:rPr>
      <w:rFonts w:ascii="Aptos" w:eastAsia="Calibri" w:hAnsi="Aptos" w:cs="Times New Roman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7E0D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0D43"/>
    <w:rPr>
      <w:rFonts w:ascii="Aptos" w:eastAsia="Calibri" w:hAnsi="Aptos" w:cs="Times New Roman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16A56-70D3-46CC-8281-9562DFD7E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Rokitnicka</dc:creator>
  <cp:lastModifiedBy>Ewa Rokitnicka</cp:lastModifiedBy>
  <cp:revision>5</cp:revision>
  <dcterms:created xsi:type="dcterms:W3CDTF">2025-11-12T08:18:00Z</dcterms:created>
  <dcterms:modified xsi:type="dcterms:W3CDTF">2025-11-12T08:25:00Z</dcterms:modified>
</cp:coreProperties>
</file>